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60" w:line="240" w:lineRule="auto"/>
        <w:ind w:left="30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CHINESE FLAGSHIP SECONDARY CURRICULUM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0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CHINESE –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0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Unit 4: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0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76923c"/>
          <w:sz w:val="24"/>
          <w:szCs w:val="24"/>
          <w:rtl w:val="0"/>
        </w:rPr>
        <w:t xml:space="preserve">Assessment: Interpretive Reading</w:t>
      </w:r>
      <w:r w:rsidDel="00000000" w:rsidR="00000000" w:rsidRPr="00000000">
        <w:drawing>
          <wp:inline distB="0" distT="0" distL="0" distR="0">
            <wp:extent cx="5934075" cy="1009650"/>
            <wp:effectExtent b="0" l="0" r="0" t="0"/>
            <wp:docPr descr="https://lh3.googleusercontent.com/BNwhFkeFkPjrihJXkOq-VfYQWh_7MoZq_f78t9W3JFmpYOKm6q0ANpSCg6u9MvT7anZi_ruyAMPGndzK5MgUtiDP2Qd7_h1eY_al1b3PGXSAc-lXlFhByAIz" id="1" name="image02.png"/>
            <a:graphic>
              <a:graphicData uri="http://schemas.openxmlformats.org/drawingml/2006/picture">
                <pic:pic>
                  <pic:nvPicPr>
                    <pic:cNvPr descr="https://lh3.googleusercontent.com/BNwhFkeFkPjrihJXkOq-VfYQWh_7MoZq_f78t9W3JFmpYOKm6q0ANpSCg6u9MvT7anZi_ruyAMPGndzK5MgUtiDP2Qd7_h1eY_al1b3PGXSAc-lXlFhByAIz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05.0" w:type="dxa"/>
        <w:tblLayout w:type="fixed"/>
        <w:tblLook w:val="0400"/>
      </w:tblPr>
      <w:tblGrid>
        <w:gridCol w:w="5067"/>
        <w:gridCol w:w="4293"/>
        <w:tblGridChange w:id="0">
          <w:tblGrid>
            <w:gridCol w:w="5067"/>
            <w:gridCol w:w="4293"/>
          </w:tblGrid>
        </w:tblGridChange>
      </w:tblGrid>
      <w:tr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shd w:fill="76923c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Scenario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shd w:fill="76923c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It’s the week before the school starts. You are shopping for school supplies for the new year.  Draw pictures that illustrate the 6 different supply categories below.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1. 三本（笔记）本 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2．两支红色的笔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3．三支黑色的笔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4．一把尺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5．五支铅笔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6．两个橡皮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I can recognize the names of different school supplies items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2382912" cy="2068368"/>
                  <wp:effectExtent b="0" l="0" r="0" t="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6"/>
                          <a:srcRect b="1419" l="0" r="5083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912" cy="20683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-105.0" w:type="dxa"/>
        <w:tblLayout w:type="fixed"/>
        <w:tblLook w:val="0400"/>
      </w:tblPr>
      <w:tblGrid>
        <w:gridCol w:w="5067"/>
        <w:gridCol w:w="4293"/>
        <w:tblGridChange w:id="0">
          <w:tblGrid>
            <w:gridCol w:w="5067"/>
            <w:gridCol w:w="4293"/>
          </w:tblGrid>
        </w:tblGridChange>
      </w:tblGrid>
      <w:tr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shd w:fill="76923c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Scenario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shd w:fill="76923c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You are one of the “school ambassadors” and one new Chinese exchange student just wrote you an email asking questions about the school. Read the email and </w:t>
            </w:r>
            <w:r w:rsidDel="00000000" w:rsidR="00000000" w:rsidRPr="00000000">
              <w:rPr>
                <w:rtl w:val="0"/>
              </w:rPr>
              <w:t xml:space="preserve">answer the following questions: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同学，你好：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我是李朋，新来的中国学生。上次在中文课和你见面，你还记得吗？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我想请你帮忙，可以吗？我觉得美国历史有一点儿难，还有英语课也很难。你可以帮我学习美国历史和练习英语吗？真不好意思！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我星期二下午三点都在图书馆，可以一起学习吗？我的课程表在附件，看看有没有你方便的时间。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我的电话是614-456-7890。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谢谢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李朋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Questions: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 does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李朋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need help with?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does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李朋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want to get together?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could you help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李朋?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</w:pPr>
            <w:r w:rsidDel="00000000" w:rsidR="00000000" w:rsidRPr="00000000">
              <w:drawing>
                <wp:inline distB="0" distT="0" distL="0" distR="0">
                  <wp:extent cx="1905000" cy="1905000"/>
                  <wp:effectExtent b="0" l="0" r="0" t="0"/>
                  <wp:docPr descr="http://www.webweaver.nu/clipart/img/education/schedule-book.jpg" id="3" name="image05.jpg"/>
                  <a:graphic>
                    <a:graphicData uri="http://schemas.openxmlformats.org/drawingml/2006/picture">
                      <pic:pic>
                        <pic:nvPicPr>
                          <pic:cNvPr descr="http://www.webweaver.nu/clipart/img/education/schedule-book.jpg" id="0" name="image0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imSun"/>
  <w:font w:name="Arial Unicode MS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4.png"/><Relationship Id="rId5" Type="http://schemas.openxmlformats.org/officeDocument/2006/relationships/image" Target="media/image02.png"/><Relationship Id="rId7" Type="http://schemas.openxmlformats.org/officeDocument/2006/relationships/image" Target="media/image05.jpg"/></Relationships>
</file>